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pPr>
      <w:bookmarkStart w:id="0" w:name="_GoBack"/>
      <w:r>
        <w:rPr>
          <w:rFonts w:hint="eastAsia" w:ascii="方正小标宋简体" w:hAnsi="Times New Roman" w:eastAsia="方正小标宋简体" w:cs="宋体"/>
          <w:kern w:val="0"/>
          <w:sz w:val="44"/>
          <w:szCs w:val="44"/>
          <w:lang w:val="en-US" w:eastAsia="zh-CN"/>
        </w:rPr>
        <w:drawing>
          <wp:anchor distT="0" distB="0" distL="114300" distR="114300" simplePos="0" relativeHeight="251667456" behindDoc="1" locked="0" layoutInCell="1" allowOverlap="1">
            <wp:simplePos x="0" y="0"/>
            <wp:positionH relativeFrom="column">
              <wp:posOffset>-910590</wp:posOffset>
            </wp:positionH>
            <wp:positionV relativeFrom="paragraph">
              <wp:posOffset>-1092835</wp:posOffset>
            </wp:positionV>
            <wp:extent cx="7560310" cy="2893060"/>
            <wp:effectExtent l="0" t="0" r="2540" b="2540"/>
            <wp:wrapNone/>
            <wp:docPr id="3" name="图片 3" descr="共青团山东科技大学信息科学与工程学院委员会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共青团山东科技大学信息科学与工程学院委员会文件"/>
                    <pic:cNvPicPr>
                      <a:picLocks noChangeAspect="1"/>
                    </pic:cNvPicPr>
                  </pic:nvPicPr>
                  <pic:blipFill>
                    <a:blip r:embed="rId5"/>
                    <a:stretch>
                      <a:fillRect/>
                    </a:stretch>
                  </pic:blipFill>
                  <pic:spPr>
                    <a:xfrm>
                      <a:off x="0" y="0"/>
                      <a:ext cx="7560310" cy="2893060"/>
                    </a:xfrm>
                    <a:prstGeom prst="rect">
                      <a:avLst/>
                    </a:prstGeom>
                    <a:noFill/>
                    <a:ln>
                      <a:noFill/>
                    </a:ln>
                  </pic:spPr>
                </pic:pic>
              </a:graphicData>
            </a:graphic>
          </wp:anchor>
        </w:drawing>
      </w:r>
      <w:bookmarkEnd w:id="0"/>
    </w:p>
    <w:p>
      <w:pPr>
        <w:pStyle w:val="6"/>
        <w:keepNext w:val="0"/>
        <w:keepLines w:val="0"/>
        <w:pageBreakBefore w:val="0"/>
        <w:widowControl w:val="0"/>
        <w:kinsoku/>
        <w:wordWrap/>
        <w:overflowPunct/>
        <w:topLinePunct w:val="0"/>
        <w:autoSpaceDE w:val="0"/>
        <w:autoSpaceDN w:val="0"/>
        <w:bidi w:val="0"/>
        <w:adjustRightInd w:val="0"/>
        <w:snapToGrid/>
        <w:spacing w:before="937" w:beforeLines="300" w:line="360" w:lineRule="auto"/>
        <w:jc w:val="center"/>
        <w:textAlignment w:val="auto"/>
        <w:rPr>
          <w:rFonts w:hint="eastAsia" w:ascii="仿宋_GB2312" w:hAnsi="方正小标宋简体" w:eastAsia="仿宋_GB2312" w:cs="方正小标宋简体"/>
          <w:sz w:val="32"/>
          <w:szCs w:val="32"/>
        </w:rPr>
      </w:pPr>
      <w:r>
        <w:rPr>
          <w:rFonts w:hint="eastAsia" w:ascii="仿宋_GB2312" w:hAnsi="方正小标宋简体" w:eastAsia="仿宋_GB2312" w:cs="方正小标宋简体"/>
          <w:sz w:val="32"/>
          <w:szCs w:val="32"/>
        </w:rPr>
        <w:t>院党字〔2019〕</w:t>
      </w:r>
      <w:r>
        <w:rPr>
          <w:rFonts w:hint="eastAsia" w:ascii="仿宋_GB2312" w:eastAsia="仿宋_GB2312" w:cs="方正小标宋简体"/>
          <w:sz w:val="32"/>
          <w:szCs w:val="32"/>
          <w:lang w:val="en-US" w:eastAsia="zh-CN"/>
        </w:rPr>
        <w:t>6</w:t>
      </w:r>
      <w:r>
        <w:rPr>
          <w:rFonts w:hint="eastAsia" w:ascii="仿宋_GB2312" w:hAnsi="方正小标宋简体" w:eastAsia="仿宋_GB2312" w:cs="方正小标宋简体"/>
          <w:sz w:val="32"/>
          <w:szCs w:val="32"/>
        </w:rPr>
        <w:t>号</w:t>
      </w:r>
    </w:p>
    <w:p>
      <w:pPr>
        <w:pStyle w:val="6"/>
        <w:keepNext w:val="0"/>
        <w:keepLines w:val="0"/>
        <w:pageBreakBefore w:val="0"/>
        <w:widowControl w:val="0"/>
        <w:kinsoku/>
        <w:wordWrap/>
        <w:overflowPunct/>
        <w:topLinePunct w:val="0"/>
        <w:autoSpaceDE w:val="0"/>
        <w:autoSpaceDN w:val="0"/>
        <w:bidi w:val="0"/>
        <w:adjustRightInd w:val="0"/>
        <w:snapToGrid/>
        <w:spacing w:before="625" w:beforeLines="200" w:after="313" w:afterLines="100" w:line="7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关于加强课程育人工作的实施意见</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sz w:val="32"/>
          <w:szCs w:val="32"/>
        </w:rPr>
      </w:pPr>
      <w:r>
        <w:rPr>
          <w:rFonts w:hint="eastAsia" w:ascii="仿宋_GB2312" w:eastAsia="仿宋_GB2312" w:cs="仿宋"/>
          <w:sz w:val="32"/>
          <w:szCs w:val="32"/>
        </w:rPr>
        <w:t xml:space="preserve">为深入学习贯彻全国和山东高校思想政治工作会议、全国教育大会、新时代全国高等学校本科教育工作会议精神，落实立德树人根本任务，加强课程育人建设，培养高水平创新型人才，结合学院工作实际，制定本实施意见。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 xml:space="preserve">一、指导思想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sz w:val="32"/>
          <w:szCs w:val="32"/>
        </w:rPr>
      </w:pPr>
      <w:r>
        <w:rPr>
          <w:rFonts w:hint="eastAsia" w:ascii="仿宋_GB2312" w:eastAsia="仿宋_GB2312" w:cs="仿宋"/>
          <w:sz w:val="32"/>
          <w:szCs w:val="32"/>
        </w:rPr>
        <w:t xml:space="preserve">以习近平新时代中国特色社会主义思想为指导，坚持社会主义办学方向，深化教书育人内涵，按照价值引领、能力达成、知识传授的总体要求，学院总体设计，各系重点落实，院系统筹推进课程育人建设。发挥专业课程育人作用，把各门课程所蕴含的育人元素有机融入课堂教学，使各门课程都“守好一道渠、种好责任田”。将育人工作贯穿教育教学全过程，培养德智体美劳全面发展的社会主义建设者和接班人。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 xml:space="preserve">二、工作目标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sz w:val="32"/>
          <w:szCs w:val="32"/>
        </w:rPr>
        <w:t>总体目标：深入挖掘拓展各门课程育人元素，充分发挥各门课程的思想政治教育功能，切实把育人工作贯穿教育教学全过程，</w:t>
      </w:r>
      <w:r>
        <w:rPr>
          <w:rFonts w:hint="eastAsia" w:ascii="仿宋_GB2312" w:eastAsia="仿宋_GB2312" w:cs="仿宋"/>
          <w:color w:val="auto"/>
          <w:sz w:val="32"/>
          <w:szCs w:val="32"/>
        </w:rPr>
        <w:t xml:space="preserve">形成全员育人、全过程育人、全方位育人格局，全面加强思政工作，推动一流学科和高水平学院建设。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具体目标：提高教师对知识传授与价值引领关系的正确认识，增强教师的育人意识和育人能力，建设一支有意识、有意愿、有能力开展课程育人教学的教师队伍。培育一批充满育人元素和发挥育人功能的示范专业课；提炼一系列可推广的课程育人教育教学改革典型经验和特色做法；形成一套科学有效的课程育人教育教学质量考核评价体系。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 xml:space="preserve">三、主要内容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1.开展课程育人教学设计。明确每一门课的教育功能，落实每一位教师的育人职责。教师要深刻领会和准确把握中央对高校思想政治工作提出的新目标、新任务和新要求，积极开展课程育人教学设计，从源头、目标和过程上强化所有课程都有育人功能的教育理念；从教学内容、教学方法上体现育人和价值塑造，充分梳理各门课程的思政教育内容，把社会主义核心价值观、全国高校思想政治工作会议和全国教育大会精神、做人做事的基本道理和要求融入课程教学。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2.培育课程育人示范课程。开展学院课程育人示范课遴选建设工作，坚持价值引领与知识传授相结合、课程教学与思想政治相结合、试点示范与推广应用相结合，明确建设目标、任务，制定实施步骤。先行开展试点工作，总结经验后，逐步扩大试点范围，在形成成熟做法的基础上，推广到全院所有课程。学院将在每个系各遴选一至两门课程作为育人示范课进行立项建设，开展试点工作，并设立重点教改项目，给予经费支持。教科办组织开展课程育人示范课程申报、建设和立项工作，各系应按照要求积极组织申报，积极探索具有学科专业特色的课程育人教学方法和课程体系。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3.挖掘专业课育人功能。将专业作为实施课程育人建设的重要平台，充分挖掘和充实各专业蕴含的育人元素，选取具有代表性的专业基础课、专业概论课、专业必修课等课程进行试点，注重课程覆盖面，充分发挥专业课程的育人功能。将课程育人有机融入专业建设，贯穿人才培养方案、师资队伍建设、课程建设、科研建设等各方面。依据新的本科专业培养方案要求，深入挖掘专业课程的德育内涵，在知识传授的过程中注重价值引领，从培养目标、毕业要求、课程体系、课程大纲等方面突出专业课程育人功能。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4.建立课程育人考核评价体系。定期对课程育人工作实施情况进行评价，建立动态化、常态化、滚动式评价模式，及时宣传表彰、督促整改，强化课程育人工作考核评价制度化建设，着力形成课程育人试点的经验做法。把教师参与课程育人教学改革情况和课程育人效果作为教师考核评价、岗位聘用、评优奖励、选拔培训的重要依据；改革学生的课程学习评价方式，把价值引领、知识传授、能力培养的教学目标纳入学生的课程学习评价；将各系推进课程育人教育教学改革成效纳入绩效考核评价。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5.建设专业教师队伍。强化师德师风建设，加强教师思想政治教育，增强“四个自信”。转变教师重知识传授、能力培养，轻价值引领的观念，通过多种方式，引导所有教师树立课程育人的理念，以思想引领和价值观塑造为目标，带动全院教师既当好“经师”，更做好“人师”，切实增强育人意识。各系要充分运用入职培训、专题培训、专业研讨、集体备课等手段，就课程育人教学的改革与实施加强互动交流，让全体教师能够利用课堂主讲、现场回答、网上互动、课堂反馈、实践教学等方式，把知识传授、能力培养、思想引领融入到每一门课程的教学全过程。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 xml:space="preserve">四、实施保障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1.加强组织领导。成立课程育人建设工作小组，分管教学工作的副院长任组长，成员为教科办主任、团委书记和各教工党支部书记，在院立德树人工作领导小组领导下，统筹推进全院课程育人建设工作。通过课程育人制度和组织建设，使全员育人、全过程育人、全方位育人在我院立德树人实践中落地生根。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2.加强协同推进。各系、室、中心推进课程育人建设要与学习宣传贯彻党的十九大精神、全国高校思想政治工作会议、全国教育工作大会和新时代全国高校本科教育工作大会精神、一流学科建设、教师党支部建设等重点难点工作相结合，各负其责，互相协同，合力提升育人能力和水平。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ascii="仿宋_GB2312" w:eastAsia="仿宋_GB2312" w:cs="仿宋"/>
          <w:color w:val="auto"/>
          <w:sz w:val="32"/>
          <w:szCs w:val="32"/>
        </w:rPr>
      </w:pPr>
      <w:r>
        <w:rPr>
          <w:rFonts w:hint="eastAsia" w:ascii="仿宋_GB2312" w:eastAsia="仿宋_GB2312" w:cs="仿宋"/>
          <w:color w:val="auto"/>
          <w:sz w:val="32"/>
          <w:szCs w:val="32"/>
        </w:rPr>
        <w:t xml:space="preserve">3.加强组织实施。各系由支部书记和系主任直接负责组织实施，结合学科专业特点，制定本系课程育人建设工作方案，将课程育人建设落实在专业人才培养方案、课程体系、课程大纲、教学过程、师资队伍中，有机融入各系整体的教育教学，形成各自课程育人的特色亮点。加强各系、专业、教师的沟通交流，定期开展调研和专项研讨，研究提出具体政策和措施，确保课程育人教育教学改革落到实处。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4.完善激励机制。学院划拨专项经费保障课程育人工作开展，将课程育人建设纳入学院重点教学改革项目，通过立项的形式提供资助加强管理，确保课程育人建设顺利实施。 </w:t>
      </w:r>
    </w:p>
    <w:p>
      <w:pPr>
        <w:pStyle w:val="6"/>
        <w:keepNext w:val="0"/>
        <w:keepLines w:val="0"/>
        <w:pageBreakBefore w:val="0"/>
        <w:widowControl w:val="0"/>
        <w:kinsoku/>
        <w:wordWrap/>
        <w:overflowPunct/>
        <w:topLinePunct w:val="0"/>
        <w:bidi w:val="0"/>
        <w:snapToGrid/>
        <w:spacing w:line="580" w:lineRule="exact"/>
        <w:ind w:firstLine="640" w:firstLineChars="200"/>
        <w:jc w:val="both"/>
        <w:textAlignment w:val="auto"/>
        <w:rPr>
          <w:rFonts w:hint="eastAsia" w:ascii="仿宋_GB2312" w:eastAsia="仿宋_GB2312" w:cs="仿宋"/>
          <w:color w:val="auto"/>
          <w:sz w:val="32"/>
          <w:szCs w:val="32"/>
        </w:rPr>
      </w:pPr>
    </w:p>
    <w:p>
      <w:pPr>
        <w:pStyle w:val="6"/>
        <w:keepNext w:val="0"/>
        <w:keepLines w:val="0"/>
        <w:pageBreakBefore w:val="0"/>
        <w:widowControl w:val="0"/>
        <w:kinsoku/>
        <w:wordWrap/>
        <w:overflowPunct/>
        <w:topLinePunct w:val="0"/>
        <w:bidi w:val="0"/>
        <w:snapToGrid/>
        <w:spacing w:line="580" w:lineRule="exact"/>
        <w:ind w:firstLine="4160" w:firstLineChars="1300"/>
        <w:jc w:val="both"/>
        <w:textAlignment w:val="auto"/>
        <w:rPr>
          <w:rFonts w:hint="eastAsia" w:ascii="仿宋_GB2312" w:eastAsia="仿宋_GB2312" w:cs="仿宋"/>
          <w:color w:val="auto"/>
          <w:sz w:val="32"/>
          <w:szCs w:val="32"/>
        </w:rPr>
      </w:pPr>
      <w:r>
        <w:rPr>
          <w:rFonts w:hint="eastAsia" w:ascii="仿宋_GB2312" w:eastAsia="仿宋_GB2312" w:cs="仿宋"/>
          <w:color w:val="auto"/>
          <w:sz w:val="32"/>
          <w:szCs w:val="32"/>
        </w:rPr>
        <w:t xml:space="preserve">计算机科学与工程学院党委 </w:t>
      </w:r>
    </w:p>
    <w:p>
      <w:pPr>
        <w:keepNext w:val="0"/>
        <w:keepLines w:val="0"/>
        <w:pageBreakBefore w:val="0"/>
        <w:widowControl w:val="0"/>
        <w:kinsoku/>
        <w:wordWrap/>
        <w:overflowPunct/>
        <w:topLinePunct w:val="0"/>
        <w:bidi w:val="0"/>
        <w:snapToGrid/>
        <w:spacing w:line="580" w:lineRule="exact"/>
        <w:ind w:firstLine="4800" w:firstLineChars="1500"/>
        <w:jc w:val="both"/>
        <w:textAlignment w:val="auto"/>
        <w:rPr>
          <w:rFonts w:hint="eastAsia" w:ascii="仿宋_GB2312" w:eastAsia="仿宋_GB2312"/>
        </w:rPr>
      </w:pPr>
      <w:r>
        <w:rPr>
          <w:rFonts w:hint="eastAsia" w:ascii="仿宋_GB2312" w:eastAsia="仿宋_GB2312" w:cs="仿宋"/>
          <w:sz w:val="32"/>
          <w:szCs w:val="32"/>
        </w:rPr>
        <w:t>2019年10月29日</w:t>
      </w:r>
    </w:p>
    <w:sectPr>
      <w:footerReference r:id="rId3" w:type="default"/>
      <w:pgSz w:w="11906" w:h="16838"/>
      <w:pgMar w:top="1701" w:right="1418" w:bottom="1701" w:left="1418"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A00002EF" w:usb1="4000207B" w:usb2="00000000" w:usb3="00000000" w:csb0="2000009F" w:csb1="00000000"/>
  </w:font>
  <w:font w:name="方正小标宋简体">
    <w:panose1 w:val="02010601030101010101"/>
    <w:charset w:val="86"/>
    <w:family w:val="swiss"/>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Calibri">
    <w:panose1 w:val="020F0502020204030204"/>
    <w:charset w:val="86"/>
    <w:family w:val="auto"/>
    <w:pitch w:val="default"/>
    <w:sig w:usb0="A00002EF" w:usb1="4000207B" w:usb2="00000000" w:usb3="00000000" w:csb0="2000009F" w:csb1="00000000"/>
  </w:font>
  <w:font w:name="Calibri">
    <w:panose1 w:val="020F0502020204030204"/>
    <w:charset w:val="00"/>
    <w:family w:val="auto"/>
    <w:pitch w:val="default"/>
    <w:sig w:usb0="A00002EF" w:usb1="4000207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cstheme="minorEastAsia"/>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fldChar w:fldCharType="begin"/>
                    </w:r>
                    <w:r>
                      <w:rPr>
                        <w:rFonts w:hint="eastAsia" w:asciiTheme="minorEastAsia" w:hAnsiTheme="minorEastAsia" w:eastAsiaTheme="minorEastAsia" w:cstheme="minorEastAsia"/>
                        <w:sz w:val="24"/>
                        <w:szCs w:val="24"/>
                        <w:lang w:eastAsia="zh-CN"/>
                      </w:rPr>
                      <w:instrText xml:space="preserve"> PAGE  \* MERGEFORMAT </w:instrText>
                    </w:r>
                    <w:r>
                      <w:rPr>
                        <w:rFonts w:hint="eastAsia" w:asciiTheme="minorEastAsia" w:hAnsiTheme="minorEastAsia" w:eastAsiaTheme="minorEastAsia" w:cstheme="minorEastAsia"/>
                        <w:sz w:val="24"/>
                        <w:szCs w:val="24"/>
                        <w:lang w:eastAsia="zh-CN"/>
                      </w:rPr>
                      <w:fldChar w:fldCharType="separate"/>
                    </w: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eastAsia="zh-CN"/>
                      </w:rPr>
                      <w:fldChar w:fldCharType="end"/>
                    </w:r>
                    <w:r>
                      <w:rPr>
                        <w:rFonts w:hint="eastAsia" w:asciiTheme="minorEastAsia" w:hAnsiTheme="minorEastAsia" w:cstheme="minorEastAsia"/>
                        <w:sz w:val="24"/>
                        <w:szCs w:val="24"/>
                        <w:lang w:val="en-US" w:eastAsia="zh-CN"/>
                      </w:rPr>
                      <w:t xml:space="preserve"> —</w:t>
                    </w:r>
                  </w:p>
                </w:txbxContent>
              </v:textbox>
            </v:shape>
          </w:pict>
        </mc:Fallback>
      </mc:AlternateContent>
    </w:r>
    <w:sdt>
      <w:sdtPr>
        <w:id w:val="-1806227655"/>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1A"/>
    <w:rsid w:val="000F7C66"/>
    <w:rsid w:val="00280BAC"/>
    <w:rsid w:val="004A1959"/>
    <w:rsid w:val="0086631A"/>
    <w:rsid w:val="00DE7507"/>
    <w:rsid w:val="00FF52D4"/>
    <w:rsid w:val="08353B4E"/>
    <w:rsid w:val="31E06D20"/>
    <w:rsid w:val="3762688D"/>
    <w:rsid w:val="748B5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efault"/>
    <w:uiPriority w:val="0"/>
    <w:pPr>
      <w:widowControl w:val="0"/>
      <w:autoSpaceDE w:val="0"/>
      <w:autoSpaceDN w:val="0"/>
      <w:adjustRightInd w:val="0"/>
    </w:pPr>
    <w:rPr>
      <w:rFonts w:ascii="方正小标宋简体" w:hAnsi="方正小标宋简体" w:cs="方正小标宋简体" w:eastAsiaTheme="minorEastAsia"/>
      <w:color w:val="000000"/>
      <w:kern w:val="0"/>
      <w:sz w:val="24"/>
      <w:szCs w:val="24"/>
      <w:lang w:val="en-US" w:eastAsia="zh-CN" w:bidi="ar-SA"/>
    </w:rPr>
  </w:style>
  <w:style w:type="character" w:customStyle="1" w:styleId="7">
    <w:name w:val="页眉 Char"/>
    <w:basedOn w:val="5"/>
    <w:link w:val="3"/>
    <w:uiPriority w:val="99"/>
    <w:rPr>
      <w:sz w:val="18"/>
      <w:szCs w:val="18"/>
    </w:rPr>
  </w:style>
  <w:style w:type="character" w:customStyle="1" w:styleId="8">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344</Words>
  <Characters>1967</Characters>
  <Lines>16</Lines>
  <Paragraphs>4</Paragraphs>
  <TotalTime>1</TotalTime>
  <ScaleCrop>false</ScaleCrop>
  <LinksUpToDate>false</LinksUpToDate>
  <CharactersWithSpaces>2307</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2019-10-30T00:53:00Z</dcterms:created>
  <dc:creator>牟仁刚</dc:creator>
  <cp:lastModifiedBy>Administrator</cp:lastModifiedBy>
  <cp:lastPrinted>2020-05-15T07:25:32Z</cp:lastPrinted>
  <dcterms:modified xsi:type="dcterms:W3CDTF">2020-05-15T07:28:59Z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